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3FB" w:rsidRPr="0004310A" w:rsidRDefault="004843FB" w:rsidP="004843FB">
      <w:pPr>
        <w:jc w:val="left"/>
        <w:rPr>
          <w:i/>
        </w:rPr>
      </w:pPr>
      <w:r w:rsidRPr="0004310A">
        <w:rPr>
          <w:i/>
        </w:rPr>
        <w:t>Tabla 1. Caract</w:t>
      </w:r>
      <w:r>
        <w:rPr>
          <w:i/>
        </w:rPr>
        <w:t>erísticas de los pacientes con esclerosis s</w:t>
      </w:r>
      <w:r w:rsidRPr="0004310A">
        <w:rPr>
          <w:i/>
        </w:rPr>
        <w:t>istémica</w:t>
      </w:r>
    </w:p>
    <w:tbl>
      <w:tblPr>
        <w:tblStyle w:val="Listamedia1-nfasis31"/>
        <w:tblpPr w:leftFromText="141" w:rightFromText="141" w:vertAnchor="text" w:horzAnchor="margin" w:tblpY="128"/>
        <w:tblW w:w="810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/>
      </w:tblPr>
      <w:tblGrid>
        <w:gridCol w:w="1963"/>
        <w:gridCol w:w="3192"/>
        <w:gridCol w:w="1366"/>
        <w:gridCol w:w="1585"/>
      </w:tblGrid>
      <w:tr w:rsidR="004843FB" w:rsidRPr="00C653A7" w:rsidTr="00DA7A4C">
        <w:trPr>
          <w:cnfStyle w:val="100000000000"/>
          <w:trHeight w:val="295"/>
        </w:trPr>
        <w:tc>
          <w:tcPr>
            <w:cnfStyle w:val="001000000000"/>
            <w:tcW w:w="0" w:type="auto"/>
            <w:gridSpan w:val="2"/>
            <w:tcBorders>
              <w:top w:val="none" w:sz="0" w:space="0" w:color="auto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rPr>
                <w:b w:val="0"/>
                <w:i/>
                <w:color w:val="000000" w:themeColor="text1"/>
              </w:rPr>
            </w:pPr>
            <w:r w:rsidRPr="00C653A7">
              <w:rPr>
                <w:b w:val="0"/>
                <w:i/>
                <w:color w:val="000000" w:themeColor="text1"/>
              </w:rPr>
              <w:t>Edad en años *</w:t>
            </w:r>
          </w:p>
        </w:tc>
        <w:tc>
          <w:tcPr>
            <w:tcW w:w="0" w:type="auto"/>
            <w:tcBorders>
              <w:top w:val="none" w:sz="0" w:space="0" w:color="auto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center"/>
              <w:cnfStyle w:val="100000000000"/>
              <w:rPr>
                <w:b/>
                <w:i/>
                <w:color w:val="000000" w:themeColor="text1"/>
              </w:rPr>
            </w:pPr>
            <w:r w:rsidRPr="00C653A7">
              <w:rPr>
                <w:b/>
                <w:i/>
                <w:color w:val="000000" w:themeColor="text1"/>
              </w:rPr>
              <w:t>(media DE)</w:t>
            </w:r>
          </w:p>
        </w:tc>
        <w:tc>
          <w:tcPr>
            <w:tcW w:w="0" w:type="auto"/>
            <w:tcBorders>
              <w:top w:val="none" w:sz="0" w:space="0" w:color="auto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cnfStyle w:val="100000000000"/>
              <w:rPr>
                <w:b/>
                <w:i/>
                <w:color w:val="000000" w:themeColor="text1"/>
              </w:rPr>
            </w:pPr>
            <w:r w:rsidRPr="00C653A7">
              <w:rPr>
                <w:b/>
                <w:i/>
                <w:color w:val="000000" w:themeColor="text1"/>
              </w:rPr>
              <w:t>51,4   (± 13,5)</w:t>
            </w:r>
          </w:p>
        </w:tc>
      </w:tr>
      <w:tr w:rsidR="004843FB" w:rsidRPr="00C653A7" w:rsidTr="00DA7A4C">
        <w:trPr>
          <w:cnfStyle w:val="000000100000"/>
          <w:trHeight w:val="295"/>
        </w:trPr>
        <w:tc>
          <w:tcPr>
            <w:cnfStyle w:val="001000000000"/>
            <w:tcW w:w="0" w:type="auto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rPr>
                <w:b w:val="0"/>
                <w:i/>
                <w:color w:val="000000" w:themeColor="text1"/>
              </w:rPr>
            </w:pPr>
            <w:r w:rsidRPr="00C653A7">
              <w:rPr>
                <w:b w:val="0"/>
                <w:i/>
                <w:color w:val="000000" w:themeColor="text1"/>
              </w:rPr>
              <w:t>Sexo Femenino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center"/>
              <w:cnfStyle w:val="000000100000"/>
              <w:rPr>
                <w:i/>
                <w:color w:val="000000" w:themeColor="text1"/>
              </w:rPr>
            </w:pPr>
            <w:r w:rsidRPr="00C653A7">
              <w:rPr>
                <w:i/>
                <w:color w:val="000000" w:themeColor="text1"/>
              </w:rPr>
              <w:t>Nº (%)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cnfStyle w:val="000000100000"/>
              <w:rPr>
                <w:i/>
                <w:color w:val="000000" w:themeColor="text1"/>
              </w:rPr>
            </w:pPr>
            <w:r w:rsidRPr="00C653A7">
              <w:rPr>
                <w:i/>
                <w:color w:val="000000" w:themeColor="text1"/>
              </w:rPr>
              <w:t>38   (86,3 %)</w:t>
            </w:r>
          </w:p>
        </w:tc>
      </w:tr>
      <w:tr w:rsidR="004843FB" w:rsidRPr="00C653A7" w:rsidTr="00DA7A4C">
        <w:trPr>
          <w:trHeight w:val="236"/>
        </w:trPr>
        <w:tc>
          <w:tcPr>
            <w:cnfStyle w:val="001000000000"/>
            <w:tcW w:w="0" w:type="auto"/>
            <w:gridSpan w:val="4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center"/>
              <w:rPr>
                <w:rFonts w:ascii="Calibri" w:hAnsi="Calibri" w:cs="Times New Roman"/>
                <w:b w:val="0"/>
                <w:i/>
                <w:color w:val="000000" w:themeColor="text1"/>
              </w:rPr>
            </w:pPr>
            <w:r w:rsidRPr="00C653A7">
              <w:rPr>
                <w:b w:val="0"/>
                <w:i/>
                <w:color w:val="000000" w:themeColor="text1"/>
              </w:rPr>
              <w:t>Color de la piel</w:t>
            </w:r>
          </w:p>
        </w:tc>
      </w:tr>
      <w:tr w:rsidR="004843FB" w:rsidRPr="00C653A7" w:rsidTr="00DA7A4C">
        <w:trPr>
          <w:cnfStyle w:val="000000100000"/>
          <w:trHeight w:val="295"/>
        </w:trPr>
        <w:tc>
          <w:tcPr>
            <w:cnfStyle w:val="001000000000"/>
            <w:tcW w:w="0" w:type="auto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rPr>
                <w:b w:val="0"/>
                <w:i/>
                <w:color w:val="000000" w:themeColor="text1"/>
              </w:rPr>
            </w:pPr>
            <w:r w:rsidRPr="00C653A7">
              <w:rPr>
                <w:b w:val="0"/>
                <w:i/>
                <w:color w:val="000000" w:themeColor="text1"/>
              </w:rPr>
              <w:t>Blancos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center"/>
              <w:cnfStyle w:val="000000100000"/>
              <w:rPr>
                <w:i/>
                <w:color w:val="000000" w:themeColor="text1"/>
              </w:rPr>
            </w:pPr>
            <w:r w:rsidRPr="00C653A7">
              <w:rPr>
                <w:i/>
                <w:color w:val="000000" w:themeColor="text1"/>
              </w:rPr>
              <w:t>Nº (%)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cnfStyle w:val="000000100000"/>
              <w:rPr>
                <w:i/>
                <w:color w:val="000000" w:themeColor="text1"/>
              </w:rPr>
            </w:pPr>
            <w:r w:rsidRPr="00C653A7">
              <w:rPr>
                <w:i/>
                <w:color w:val="000000" w:themeColor="text1"/>
              </w:rPr>
              <w:t>32 (72,7 %)</w:t>
            </w:r>
          </w:p>
        </w:tc>
      </w:tr>
      <w:tr w:rsidR="004843FB" w:rsidRPr="00C653A7" w:rsidTr="00DA7A4C">
        <w:trPr>
          <w:trHeight w:val="295"/>
        </w:trPr>
        <w:tc>
          <w:tcPr>
            <w:cnfStyle w:val="001000000000"/>
            <w:tcW w:w="0" w:type="auto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rPr>
                <w:b w:val="0"/>
                <w:i/>
                <w:color w:val="000000" w:themeColor="text1"/>
              </w:rPr>
            </w:pPr>
            <w:r w:rsidRPr="00C653A7">
              <w:rPr>
                <w:b w:val="0"/>
                <w:i/>
                <w:color w:val="000000" w:themeColor="text1"/>
              </w:rPr>
              <w:t>Negros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center"/>
              <w:cnfStyle w:val="000000000000"/>
              <w:rPr>
                <w:i/>
                <w:color w:val="000000" w:themeColor="text1"/>
              </w:rPr>
            </w:pPr>
            <w:r w:rsidRPr="00C653A7">
              <w:rPr>
                <w:i/>
                <w:color w:val="000000" w:themeColor="text1"/>
              </w:rPr>
              <w:t>Nº (%)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cnfStyle w:val="000000000000"/>
              <w:rPr>
                <w:i/>
                <w:color w:val="000000" w:themeColor="text1"/>
              </w:rPr>
            </w:pPr>
            <w:r w:rsidRPr="00C653A7">
              <w:rPr>
                <w:i/>
                <w:color w:val="000000" w:themeColor="text1"/>
              </w:rPr>
              <w:t>4  (9 %)</w:t>
            </w:r>
          </w:p>
        </w:tc>
      </w:tr>
      <w:tr w:rsidR="004843FB" w:rsidRPr="00C653A7" w:rsidTr="00DA7A4C">
        <w:trPr>
          <w:cnfStyle w:val="000000100000"/>
          <w:trHeight w:val="295"/>
        </w:trPr>
        <w:tc>
          <w:tcPr>
            <w:cnfStyle w:val="001000000000"/>
            <w:tcW w:w="0" w:type="auto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rPr>
                <w:b w:val="0"/>
                <w:i/>
                <w:color w:val="000000" w:themeColor="text1"/>
              </w:rPr>
            </w:pPr>
            <w:r w:rsidRPr="00C653A7">
              <w:rPr>
                <w:b w:val="0"/>
                <w:i/>
                <w:color w:val="000000" w:themeColor="text1"/>
              </w:rPr>
              <w:t>Mestizos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center"/>
              <w:cnfStyle w:val="000000100000"/>
              <w:rPr>
                <w:i/>
                <w:color w:val="000000" w:themeColor="text1"/>
              </w:rPr>
            </w:pPr>
            <w:r w:rsidRPr="00C653A7">
              <w:rPr>
                <w:i/>
                <w:color w:val="000000" w:themeColor="text1"/>
              </w:rPr>
              <w:t>Nº (%)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cnfStyle w:val="000000100000"/>
              <w:rPr>
                <w:i/>
                <w:color w:val="000000" w:themeColor="text1"/>
              </w:rPr>
            </w:pPr>
            <w:r w:rsidRPr="00C653A7">
              <w:rPr>
                <w:i/>
                <w:color w:val="000000" w:themeColor="text1"/>
              </w:rPr>
              <w:t>8  (18 %)</w:t>
            </w:r>
          </w:p>
        </w:tc>
      </w:tr>
      <w:tr w:rsidR="004843FB" w:rsidRPr="00C653A7" w:rsidTr="00DA7A4C">
        <w:trPr>
          <w:trHeight w:val="295"/>
        </w:trPr>
        <w:tc>
          <w:tcPr>
            <w:cnfStyle w:val="001000000000"/>
            <w:tcW w:w="0" w:type="auto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rPr>
                <w:b w:val="0"/>
                <w:i/>
                <w:color w:val="000000" w:themeColor="text1"/>
              </w:rPr>
            </w:pPr>
            <w:r w:rsidRPr="00C653A7">
              <w:rPr>
                <w:b w:val="0"/>
                <w:i/>
                <w:color w:val="000000" w:themeColor="text1"/>
              </w:rPr>
              <w:t>Duración de  la enfermedad en años 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center"/>
              <w:cnfStyle w:val="000000000000"/>
              <w:rPr>
                <w:bCs/>
                <w:i/>
                <w:color w:val="000000" w:themeColor="text1"/>
              </w:rPr>
            </w:pPr>
            <w:r w:rsidRPr="00C653A7">
              <w:rPr>
                <w:bCs/>
                <w:i/>
                <w:color w:val="000000" w:themeColor="text1"/>
              </w:rPr>
              <w:t>(media DE)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cnfStyle w:val="000000000000"/>
              <w:rPr>
                <w:i/>
                <w:color w:val="000000" w:themeColor="text1"/>
              </w:rPr>
            </w:pPr>
            <w:r w:rsidRPr="00C653A7">
              <w:rPr>
                <w:i/>
                <w:color w:val="000000" w:themeColor="text1"/>
              </w:rPr>
              <w:t>8,7 (± 6,9)</w:t>
            </w:r>
          </w:p>
        </w:tc>
      </w:tr>
      <w:tr w:rsidR="004843FB" w:rsidRPr="00C653A7" w:rsidTr="00DA7A4C">
        <w:trPr>
          <w:cnfStyle w:val="000000100000"/>
          <w:trHeight w:val="325"/>
        </w:trPr>
        <w:tc>
          <w:tcPr>
            <w:cnfStyle w:val="001000000000"/>
            <w:tcW w:w="0" w:type="auto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rPr>
                <w:b w:val="0"/>
                <w:i/>
                <w:color w:val="000000" w:themeColor="text1"/>
              </w:rPr>
            </w:pPr>
            <w:r w:rsidRPr="00C653A7">
              <w:rPr>
                <w:b w:val="0"/>
                <w:i/>
                <w:color w:val="000000" w:themeColor="text1"/>
              </w:rPr>
              <w:t>Pacientes afectación musculoesquelético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center"/>
              <w:cnfStyle w:val="000000100000"/>
              <w:rPr>
                <w:i/>
                <w:color w:val="000000" w:themeColor="text1"/>
              </w:rPr>
            </w:pPr>
            <w:r w:rsidRPr="00C653A7">
              <w:rPr>
                <w:i/>
                <w:color w:val="000000" w:themeColor="text1"/>
              </w:rPr>
              <w:t>N</w:t>
            </w:r>
            <w:r w:rsidRPr="00C653A7">
              <w:rPr>
                <w:i/>
                <w:color w:val="000000" w:themeColor="text1"/>
                <w:vertAlign w:val="superscript"/>
              </w:rPr>
              <w:t>o</w:t>
            </w:r>
            <w:r w:rsidRPr="00C653A7">
              <w:rPr>
                <w:i/>
                <w:color w:val="000000" w:themeColor="text1"/>
              </w:rPr>
              <w:t xml:space="preserve"> (%)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cnfStyle w:val="000000100000"/>
              <w:rPr>
                <w:i/>
                <w:color w:val="000000" w:themeColor="text1"/>
              </w:rPr>
            </w:pPr>
            <w:r w:rsidRPr="00C653A7">
              <w:rPr>
                <w:i/>
                <w:color w:val="000000" w:themeColor="text1"/>
              </w:rPr>
              <w:t>44 (100 %)</w:t>
            </w:r>
          </w:p>
        </w:tc>
      </w:tr>
      <w:tr w:rsidR="004843FB" w:rsidRPr="00C653A7" w:rsidTr="00DA7A4C">
        <w:trPr>
          <w:trHeight w:val="325"/>
        </w:trPr>
        <w:tc>
          <w:tcPr>
            <w:cnfStyle w:val="001000000000"/>
            <w:tcW w:w="0" w:type="auto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rPr>
                <w:b w:val="0"/>
                <w:i/>
                <w:color w:val="000000" w:themeColor="text1"/>
              </w:rPr>
            </w:pPr>
            <w:r w:rsidRPr="00C653A7">
              <w:rPr>
                <w:b w:val="0"/>
                <w:i/>
                <w:color w:val="000000" w:themeColor="text1"/>
              </w:rPr>
              <w:t xml:space="preserve">Pacientes afectación  </w:t>
            </w:r>
            <w:proofErr w:type="spellStart"/>
            <w:r w:rsidRPr="00C653A7">
              <w:rPr>
                <w:b w:val="0"/>
                <w:i/>
                <w:color w:val="000000" w:themeColor="text1"/>
              </w:rPr>
              <w:t>Sist</w:t>
            </w:r>
            <w:proofErr w:type="spellEnd"/>
            <w:r w:rsidRPr="00C653A7">
              <w:rPr>
                <w:b w:val="0"/>
                <w:i/>
                <w:color w:val="000000" w:themeColor="text1"/>
              </w:rPr>
              <w:t>. Microvascular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center"/>
              <w:cnfStyle w:val="000000000000"/>
              <w:rPr>
                <w:i/>
                <w:color w:val="000000" w:themeColor="text1"/>
              </w:rPr>
            </w:pPr>
            <w:r w:rsidRPr="00C653A7">
              <w:rPr>
                <w:i/>
                <w:color w:val="000000" w:themeColor="text1"/>
              </w:rPr>
              <w:t>N</w:t>
            </w:r>
            <w:r w:rsidRPr="00C653A7">
              <w:rPr>
                <w:i/>
                <w:color w:val="000000" w:themeColor="text1"/>
                <w:vertAlign w:val="superscript"/>
              </w:rPr>
              <w:t>o</w:t>
            </w:r>
            <w:r w:rsidRPr="00C653A7">
              <w:rPr>
                <w:i/>
                <w:color w:val="000000" w:themeColor="text1"/>
              </w:rPr>
              <w:t xml:space="preserve"> (%)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cnfStyle w:val="000000000000"/>
              <w:rPr>
                <w:i/>
                <w:color w:val="000000" w:themeColor="text1"/>
              </w:rPr>
            </w:pPr>
            <w:r w:rsidRPr="00C653A7">
              <w:rPr>
                <w:i/>
                <w:color w:val="000000" w:themeColor="text1"/>
              </w:rPr>
              <w:t>44 (100 %)</w:t>
            </w:r>
          </w:p>
        </w:tc>
      </w:tr>
      <w:tr w:rsidR="004843FB" w:rsidRPr="00C653A7" w:rsidTr="00DA7A4C">
        <w:trPr>
          <w:cnfStyle w:val="000000100000"/>
          <w:trHeight w:val="325"/>
        </w:trPr>
        <w:tc>
          <w:tcPr>
            <w:cnfStyle w:val="001000000000"/>
            <w:tcW w:w="0" w:type="auto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rPr>
                <w:b w:val="0"/>
                <w:i/>
                <w:color w:val="000000" w:themeColor="text1"/>
              </w:rPr>
            </w:pPr>
            <w:r w:rsidRPr="00C653A7">
              <w:rPr>
                <w:b w:val="0"/>
                <w:i/>
                <w:color w:val="000000" w:themeColor="text1"/>
              </w:rPr>
              <w:t>Pacientes afectación Piel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center"/>
              <w:cnfStyle w:val="000000100000"/>
              <w:rPr>
                <w:i/>
                <w:color w:val="000000" w:themeColor="text1"/>
              </w:rPr>
            </w:pPr>
            <w:r w:rsidRPr="00C653A7">
              <w:rPr>
                <w:i/>
                <w:color w:val="000000" w:themeColor="text1"/>
              </w:rPr>
              <w:t>N</w:t>
            </w:r>
            <w:r w:rsidRPr="00C653A7">
              <w:rPr>
                <w:i/>
                <w:color w:val="000000" w:themeColor="text1"/>
                <w:vertAlign w:val="superscript"/>
              </w:rPr>
              <w:t>o</w:t>
            </w:r>
            <w:r w:rsidRPr="00C653A7">
              <w:rPr>
                <w:i/>
                <w:color w:val="000000" w:themeColor="text1"/>
              </w:rPr>
              <w:t xml:space="preserve"> (%)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cnfStyle w:val="000000100000"/>
              <w:rPr>
                <w:i/>
                <w:color w:val="000000" w:themeColor="text1"/>
              </w:rPr>
            </w:pPr>
            <w:r w:rsidRPr="00C653A7">
              <w:rPr>
                <w:i/>
                <w:color w:val="000000" w:themeColor="text1"/>
              </w:rPr>
              <w:t>42 (95,4 %)</w:t>
            </w:r>
          </w:p>
        </w:tc>
      </w:tr>
      <w:tr w:rsidR="004843FB" w:rsidRPr="00C653A7" w:rsidTr="00DA7A4C">
        <w:trPr>
          <w:trHeight w:val="325"/>
        </w:trPr>
        <w:tc>
          <w:tcPr>
            <w:cnfStyle w:val="001000000000"/>
            <w:tcW w:w="0" w:type="auto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rPr>
                <w:b w:val="0"/>
                <w:i/>
                <w:color w:val="000000" w:themeColor="text1"/>
              </w:rPr>
            </w:pPr>
            <w:r w:rsidRPr="00C653A7">
              <w:rPr>
                <w:b w:val="0"/>
                <w:i/>
                <w:color w:val="000000" w:themeColor="text1"/>
              </w:rPr>
              <w:t xml:space="preserve">Pacientes afectación </w:t>
            </w:r>
            <w:proofErr w:type="spellStart"/>
            <w:r w:rsidRPr="00C653A7">
              <w:rPr>
                <w:b w:val="0"/>
                <w:i/>
                <w:color w:val="000000" w:themeColor="text1"/>
              </w:rPr>
              <w:t>Sist</w:t>
            </w:r>
            <w:proofErr w:type="spellEnd"/>
            <w:r w:rsidRPr="00C653A7">
              <w:rPr>
                <w:b w:val="0"/>
                <w:i/>
                <w:color w:val="000000" w:themeColor="text1"/>
              </w:rPr>
              <w:t>. Digestivo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center"/>
              <w:cnfStyle w:val="000000000000"/>
              <w:rPr>
                <w:i/>
                <w:color w:val="000000" w:themeColor="text1"/>
              </w:rPr>
            </w:pPr>
            <w:r w:rsidRPr="00C653A7">
              <w:rPr>
                <w:i/>
                <w:color w:val="000000" w:themeColor="text1"/>
              </w:rPr>
              <w:t>N</w:t>
            </w:r>
            <w:r w:rsidRPr="00C653A7">
              <w:rPr>
                <w:i/>
                <w:color w:val="000000" w:themeColor="text1"/>
                <w:vertAlign w:val="superscript"/>
              </w:rPr>
              <w:t>o</w:t>
            </w:r>
            <w:r w:rsidRPr="00C653A7">
              <w:rPr>
                <w:i/>
                <w:color w:val="000000" w:themeColor="text1"/>
              </w:rPr>
              <w:t xml:space="preserve"> (%)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cnfStyle w:val="000000000000"/>
              <w:rPr>
                <w:i/>
                <w:color w:val="000000" w:themeColor="text1"/>
              </w:rPr>
            </w:pPr>
            <w:r w:rsidRPr="00C653A7">
              <w:rPr>
                <w:i/>
                <w:color w:val="000000" w:themeColor="text1"/>
              </w:rPr>
              <w:t>41 (93,1 %)</w:t>
            </w:r>
          </w:p>
        </w:tc>
      </w:tr>
      <w:tr w:rsidR="004843FB" w:rsidRPr="00C653A7" w:rsidTr="00DA7A4C">
        <w:trPr>
          <w:cnfStyle w:val="000000100000"/>
          <w:trHeight w:val="325"/>
        </w:trPr>
        <w:tc>
          <w:tcPr>
            <w:cnfStyle w:val="001000000000"/>
            <w:tcW w:w="0" w:type="auto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rPr>
                <w:b w:val="0"/>
                <w:i/>
                <w:color w:val="000000" w:themeColor="text1"/>
              </w:rPr>
            </w:pPr>
            <w:r w:rsidRPr="00C653A7">
              <w:rPr>
                <w:b w:val="0"/>
                <w:i/>
                <w:color w:val="000000" w:themeColor="text1"/>
              </w:rPr>
              <w:t xml:space="preserve">Pacientes afectación </w:t>
            </w:r>
            <w:proofErr w:type="spellStart"/>
            <w:r w:rsidRPr="00C653A7">
              <w:rPr>
                <w:b w:val="0"/>
                <w:i/>
                <w:color w:val="000000" w:themeColor="text1"/>
              </w:rPr>
              <w:t>Sist</w:t>
            </w:r>
            <w:proofErr w:type="spellEnd"/>
            <w:r w:rsidRPr="00C653A7">
              <w:rPr>
                <w:b w:val="0"/>
                <w:i/>
                <w:color w:val="000000" w:themeColor="text1"/>
              </w:rPr>
              <w:t>. Respiratorio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center"/>
              <w:cnfStyle w:val="000000100000"/>
              <w:rPr>
                <w:i/>
                <w:color w:val="000000" w:themeColor="text1"/>
              </w:rPr>
            </w:pPr>
            <w:r w:rsidRPr="00C653A7">
              <w:rPr>
                <w:i/>
                <w:color w:val="000000" w:themeColor="text1"/>
              </w:rPr>
              <w:t>N</w:t>
            </w:r>
            <w:r w:rsidRPr="00C653A7">
              <w:rPr>
                <w:i/>
                <w:color w:val="000000" w:themeColor="text1"/>
                <w:vertAlign w:val="superscript"/>
              </w:rPr>
              <w:t>o</w:t>
            </w:r>
            <w:r w:rsidRPr="00C653A7">
              <w:rPr>
                <w:i/>
                <w:color w:val="000000" w:themeColor="text1"/>
              </w:rPr>
              <w:t xml:space="preserve"> (%)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cnfStyle w:val="000000100000"/>
              <w:rPr>
                <w:i/>
                <w:color w:val="000000" w:themeColor="text1"/>
              </w:rPr>
            </w:pPr>
            <w:r w:rsidRPr="00C653A7">
              <w:rPr>
                <w:i/>
                <w:color w:val="000000" w:themeColor="text1"/>
              </w:rPr>
              <w:t>36 (81,8 %)</w:t>
            </w:r>
          </w:p>
        </w:tc>
      </w:tr>
      <w:tr w:rsidR="004843FB" w:rsidRPr="00C653A7" w:rsidTr="00DA7A4C">
        <w:trPr>
          <w:trHeight w:val="325"/>
        </w:trPr>
        <w:tc>
          <w:tcPr>
            <w:cnfStyle w:val="001000000000"/>
            <w:tcW w:w="0" w:type="auto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rPr>
                <w:b w:val="0"/>
                <w:i/>
                <w:color w:val="000000" w:themeColor="text1"/>
              </w:rPr>
            </w:pPr>
            <w:r w:rsidRPr="00C653A7">
              <w:rPr>
                <w:b w:val="0"/>
                <w:i/>
                <w:color w:val="000000" w:themeColor="text1"/>
              </w:rPr>
              <w:t xml:space="preserve">Pacientes afectación </w:t>
            </w:r>
            <w:proofErr w:type="spellStart"/>
            <w:r w:rsidRPr="00C653A7">
              <w:rPr>
                <w:b w:val="0"/>
                <w:i/>
                <w:color w:val="000000" w:themeColor="text1"/>
              </w:rPr>
              <w:t>Sist</w:t>
            </w:r>
            <w:proofErr w:type="spellEnd"/>
            <w:r w:rsidRPr="00C653A7">
              <w:rPr>
                <w:b w:val="0"/>
                <w:i/>
                <w:color w:val="000000" w:themeColor="text1"/>
              </w:rPr>
              <w:t>. C vascular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center"/>
              <w:cnfStyle w:val="000000000000"/>
              <w:rPr>
                <w:i/>
                <w:color w:val="000000" w:themeColor="text1"/>
              </w:rPr>
            </w:pPr>
            <w:r w:rsidRPr="00C653A7">
              <w:rPr>
                <w:i/>
                <w:color w:val="000000" w:themeColor="text1"/>
              </w:rPr>
              <w:t>N</w:t>
            </w:r>
            <w:r w:rsidRPr="00C653A7">
              <w:rPr>
                <w:i/>
                <w:color w:val="000000" w:themeColor="text1"/>
                <w:vertAlign w:val="superscript"/>
              </w:rPr>
              <w:t>o</w:t>
            </w:r>
            <w:r w:rsidRPr="00C653A7">
              <w:rPr>
                <w:i/>
                <w:color w:val="000000" w:themeColor="text1"/>
              </w:rPr>
              <w:t xml:space="preserve"> (%)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cnfStyle w:val="000000000000"/>
              <w:rPr>
                <w:i/>
                <w:color w:val="000000" w:themeColor="text1"/>
              </w:rPr>
            </w:pPr>
            <w:r w:rsidRPr="00C653A7">
              <w:rPr>
                <w:i/>
                <w:color w:val="000000" w:themeColor="text1"/>
              </w:rPr>
              <w:t>16 (36,3 %)</w:t>
            </w:r>
          </w:p>
        </w:tc>
      </w:tr>
      <w:tr w:rsidR="004843FB" w:rsidRPr="00C653A7" w:rsidTr="00DA7A4C">
        <w:trPr>
          <w:cnfStyle w:val="000000100000"/>
          <w:trHeight w:val="325"/>
        </w:trPr>
        <w:tc>
          <w:tcPr>
            <w:cnfStyle w:val="001000000000"/>
            <w:tcW w:w="0" w:type="auto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rPr>
                <w:b w:val="0"/>
                <w:i/>
                <w:color w:val="000000" w:themeColor="text1"/>
              </w:rPr>
            </w:pPr>
            <w:r w:rsidRPr="00C653A7">
              <w:rPr>
                <w:b w:val="0"/>
                <w:i/>
                <w:color w:val="000000" w:themeColor="text1"/>
              </w:rPr>
              <w:t xml:space="preserve">Pacientes afectación </w:t>
            </w:r>
            <w:proofErr w:type="spellStart"/>
            <w:r w:rsidRPr="00C653A7">
              <w:rPr>
                <w:b w:val="0"/>
                <w:i/>
                <w:color w:val="000000" w:themeColor="text1"/>
              </w:rPr>
              <w:t>Sist</w:t>
            </w:r>
            <w:proofErr w:type="spellEnd"/>
            <w:r w:rsidRPr="00C653A7">
              <w:rPr>
                <w:b w:val="0"/>
                <w:i/>
                <w:color w:val="000000" w:themeColor="text1"/>
              </w:rPr>
              <w:t>. Renal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center"/>
              <w:cnfStyle w:val="000000100000"/>
              <w:rPr>
                <w:i/>
                <w:color w:val="000000" w:themeColor="text1"/>
              </w:rPr>
            </w:pPr>
            <w:r w:rsidRPr="00C653A7">
              <w:rPr>
                <w:i/>
                <w:color w:val="000000" w:themeColor="text1"/>
              </w:rPr>
              <w:t>N</w:t>
            </w:r>
            <w:r w:rsidRPr="00C653A7">
              <w:rPr>
                <w:i/>
                <w:color w:val="000000" w:themeColor="text1"/>
                <w:vertAlign w:val="superscript"/>
              </w:rPr>
              <w:t>o</w:t>
            </w:r>
            <w:r w:rsidRPr="00C653A7">
              <w:rPr>
                <w:i/>
                <w:color w:val="000000" w:themeColor="text1"/>
              </w:rPr>
              <w:t xml:space="preserve"> (%)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cnfStyle w:val="000000100000"/>
              <w:rPr>
                <w:i/>
                <w:color w:val="000000" w:themeColor="text1"/>
              </w:rPr>
            </w:pPr>
            <w:r w:rsidRPr="00C653A7">
              <w:rPr>
                <w:i/>
                <w:color w:val="000000" w:themeColor="text1"/>
              </w:rPr>
              <w:t>7 (15,9 %)</w:t>
            </w:r>
          </w:p>
        </w:tc>
      </w:tr>
      <w:tr w:rsidR="004843FB" w:rsidRPr="00C653A7" w:rsidTr="00DA7A4C">
        <w:trPr>
          <w:trHeight w:val="275"/>
        </w:trPr>
        <w:tc>
          <w:tcPr>
            <w:cnfStyle w:val="001000000000"/>
            <w:tcW w:w="0" w:type="auto"/>
            <w:gridSpan w:val="4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center"/>
              <w:rPr>
                <w:b w:val="0"/>
                <w:i/>
                <w:color w:val="000000" w:themeColor="text1"/>
              </w:rPr>
            </w:pPr>
            <w:r w:rsidRPr="00C653A7">
              <w:rPr>
                <w:b w:val="0"/>
                <w:i/>
                <w:color w:val="000000" w:themeColor="text1"/>
              </w:rPr>
              <w:t>Subtipos Clínicos de la  enfermedad</w:t>
            </w:r>
          </w:p>
        </w:tc>
      </w:tr>
      <w:tr w:rsidR="004843FB" w:rsidRPr="00C653A7" w:rsidTr="00DA7A4C">
        <w:trPr>
          <w:cnfStyle w:val="000000100000"/>
          <w:trHeight w:val="325"/>
        </w:trPr>
        <w:tc>
          <w:tcPr>
            <w:cnfStyle w:val="001000000000"/>
            <w:tcW w:w="0" w:type="auto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rPr>
                <w:b w:val="0"/>
                <w:i/>
                <w:color w:val="000000" w:themeColor="text1"/>
              </w:rPr>
            </w:pPr>
            <w:r w:rsidRPr="00C653A7">
              <w:rPr>
                <w:b w:val="0"/>
                <w:i/>
                <w:color w:val="000000" w:themeColor="text1"/>
              </w:rPr>
              <w:t>Sistémica Difusa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center"/>
              <w:cnfStyle w:val="000000100000"/>
              <w:rPr>
                <w:i/>
                <w:color w:val="000000" w:themeColor="text1"/>
              </w:rPr>
            </w:pPr>
            <w:r w:rsidRPr="00C653A7">
              <w:rPr>
                <w:i/>
                <w:color w:val="000000" w:themeColor="text1"/>
              </w:rPr>
              <w:t>N</w:t>
            </w:r>
            <w:r w:rsidRPr="00C653A7">
              <w:rPr>
                <w:i/>
                <w:color w:val="000000" w:themeColor="text1"/>
                <w:vertAlign w:val="superscript"/>
              </w:rPr>
              <w:t>o</w:t>
            </w:r>
            <w:r w:rsidRPr="00C653A7">
              <w:rPr>
                <w:i/>
                <w:color w:val="000000" w:themeColor="text1"/>
              </w:rPr>
              <w:t xml:space="preserve"> (%)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cnfStyle w:val="000000100000"/>
              <w:rPr>
                <w:i/>
                <w:color w:val="000000" w:themeColor="text1"/>
              </w:rPr>
            </w:pPr>
            <w:r w:rsidRPr="00C653A7">
              <w:rPr>
                <w:i/>
                <w:color w:val="000000" w:themeColor="text1"/>
              </w:rPr>
              <w:t>36 (82 %)</w:t>
            </w:r>
          </w:p>
        </w:tc>
      </w:tr>
      <w:tr w:rsidR="004843FB" w:rsidRPr="00C653A7" w:rsidTr="00DA7A4C">
        <w:trPr>
          <w:trHeight w:val="325"/>
        </w:trPr>
        <w:tc>
          <w:tcPr>
            <w:cnfStyle w:val="001000000000"/>
            <w:tcW w:w="0" w:type="auto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rPr>
                <w:b w:val="0"/>
                <w:i/>
                <w:color w:val="000000" w:themeColor="text1"/>
              </w:rPr>
            </w:pPr>
            <w:r w:rsidRPr="00C653A7">
              <w:rPr>
                <w:b w:val="0"/>
                <w:i/>
                <w:color w:val="000000" w:themeColor="text1"/>
              </w:rPr>
              <w:t>Sistémica Limitada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center"/>
              <w:cnfStyle w:val="000000000000"/>
              <w:rPr>
                <w:i/>
                <w:color w:val="000000" w:themeColor="text1"/>
              </w:rPr>
            </w:pPr>
            <w:r w:rsidRPr="00C653A7">
              <w:rPr>
                <w:i/>
                <w:color w:val="000000" w:themeColor="text1"/>
              </w:rPr>
              <w:t>N</w:t>
            </w:r>
            <w:r w:rsidRPr="00C653A7">
              <w:rPr>
                <w:i/>
                <w:color w:val="000000" w:themeColor="text1"/>
                <w:vertAlign w:val="superscript"/>
              </w:rPr>
              <w:t>o</w:t>
            </w:r>
            <w:r w:rsidRPr="00C653A7">
              <w:rPr>
                <w:i/>
                <w:color w:val="000000" w:themeColor="text1"/>
              </w:rPr>
              <w:t xml:space="preserve"> (%)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cnfStyle w:val="000000000000"/>
              <w:rPr>
                <w:i/>
                <w:color w:val="000000" w:themeColor="text1"/>
              </w:rPr>
            </w:pPr>
            <w:r w:rsidRPr="00C653A7">
              <w:rPr>
                <w:i/>
                <w:color w:val="000000" w:themeColor="text1"/>
              </w:rPr>
              <w:t>4  (9 %)</w:t>
            </w:r>
          </w:p>
        </w:tc>
      </w:tr>
      <w:tr w:rsidR="004843FB" w:rsidRPr="00C653A7" w:rsidTr="00DA7A4C">
        <w:trPr>
          <w:cnfStyle w:val="000000100000"/>
          <w:trHeight w:val="325"/>
        </w:trPr>
        <w:tc>
          <w:tcPr>
            <w:cnfStyle w:val="001000000000"/>
            <w:tcW w:w="0" w:type="auto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rPr>
                <w:b w:val="0"/>
                <w:i/>
                <w:color w:val="000000" w:themeColor="text1"/>
              </w:rPr>
            </w:pPr>
            <w:r w:rsidRPr="00C653A7">
              <w:rPr>
                <w:b w:val="0"/>
                <w:i/>
                <w:color w:val="000000" w:themeColor="text1"/>
              </w:rPr>
              <w:t>Síndrome de Superposición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center"/>
              <w:cnfStyle w:val="000000100000"/>
              <w:rPr>
                <w:i/>
                <w:color w:val="000000" w:themeColor="text1"/>
              </w:rPr>
            </w:pPr>
            <w:r w:rsidRPr="00C653A7">
              <w:rPr>
                <w:i/>
                <w:color w:val="000000" w:themeColor="text1"/>
              </w:rPr>
              <w:t>N</w:t>
            </w:r>
            <w:r w:rsidRPr="00C653A7">
              <w:rPr>
                <w:i/>
                <w:color w:val="000000" w:themeColor="text1"/>
                <w:vertAlign w:val="superscript"/>
              </w:rPr>
              <w:t>o</w:t>
            </w:r>
            <w:r w:rsidRPr="00C653A7">
              <w:rPr>
                <w:i/>
                <w:color w:val="000000" w:themeColor="text1"/>
              </w:rPr>
              <w:t xml:space="preserve"> (%)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cnfStyle w:val="000000100000"/>
              <w:rPr>
                <w:i/>
                <w:color w:val="000000" w:themeColor="text1"/>
              </w:rPr>
            </w:pPr>
            <w:r w:rsidRPr="00C653A7">
              <w:rPr>
                <w:i/>
                <w:color w:val="000000" w:themeColor="text1"/>
              </w:rPr>
              <w:t>2 (4,5 %)</w:t>
            </w:r>
          </w:p>
        </w:tc>
      </w:tr>
      <w:tr w:rsidR="004843FB" w:rsidRPr="00C653A7" w:rsidTr="00DA7A4C">
        <w:trPr>
          <w:trHeight w:val="384"/>
        </w:trPr>
        <w:tc>
          <w:tcPr>
            <w:cnfStyle w:val="001000000000"/>
            <w:tcW w:w="0" w:type="auto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rPr>
                <w:b w:val="0"/>
                <w:i/>
                <w:color w:val="000000" w:themeColor="text1"/>
              </w:rPr>
            </w:pPr>
            <w:r w:rsidRPr="00C653A7">
              <w:rPr>
                <w:b w:val="0"/>
                <w:i/>
                <w:color w:val="000000" w:themeColor="text1"/>
              </w:rPr>
              <w:t>Sin esclerodermia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center"/>
              <w:cnfStyle w:val="000000000000"/>
              <w:rPr>
                <w:i/>
                <w:color w:val="000000" w:themeColor="text1"/>
              </w:rPr>
            </w:pPr>
            <w:r w:rsidRPr="00C653A7">
              <w:rPr>
                <w:i/>
                <w:color w:val="000000" w:themeColor="text1"/>
              </w:rPr>
              <w:t>N</w:t>
            </w:r>
            <w:r w:rsidRPr="00C653A7">
              <w:rPr>
                <w:i/>
                <w:color w:val="000000" w:themeColor="text1"/>
                <w:vertAlign w:val="superscript"/>
              </w:rPr>
              <w:t>o</w:t>
            </w:r>
            <w:r w:rsidRPr="00C653A7">
              <w:rPr>
                <w:i/>
                <w:color w:val="000000" w:themeColor="text1"/>
              </w:rPr>
              <w:t xml:space="preserve"> (%)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:rsidR="004843FB" w:rsidRPr="00C653A7" w:rsidRDefault="004843FB" w:rsidP="00DA7A4C">
            <w:pPr>
              <w:spacing w:line="240" w:lineRule="auto"/>
              <w:jc w:val="left"/>
              <w:cnfStyle w:val="000000000000"/>
              <w:rPr>
                <w:i/>
                <w:color w:val="000000" w:themeColor="text1"/>
              </w:rPr>
            </w:pPr>
            <w:r w:rsidRPr="00C653A7">
              <w:rPr>
                <w:i/>
                <w:color w:val="000000" w:themeColor="text1"/>
              </w:rPr>
              <w:t>2 (4,5 %)</w:t>
            </w:r>
          </w:p>
        </w:tc>
      </w:tr>
      <w:tr w:rsidR="004843FB" w:rsidRPr="00C653A7" w:rsidTr="00DA7A4C">
        <w:trPr>
          <w:gridAfter w:val="2"/>
          <w:cnfStyle w:val="000000100000"/>
          <w:trHeight w:val="534"/>
        </w:trPr>
        <w:tc>
          <w:tcPr>
            <w:cnfStyle w:val="001000000000"/>
            <w:tcW w:w="0" w:type="auto"/>
            <w:shd w:val="clear" w:color="auto" w:fill="auto"/>
          </w:tcPr>
          <w:p w:rsidR="004843FB" w:rsidRPr="00C653A7" w:rsidRDefault="004843FB" w:rsidP="00DA7A4C">
            <w:pPr>
              <w:spacing w:line="240" w:lineRule="auto"/>
              <w:jc w:val="right"/>
              <w:rPr>
                <w:rFonts w:eastAsia="Franklin Gothic Book"/>
                <w:b w:val="0"/>
                <w:i/>
                <w:color w:val="000000" w:themeColor="text1"/>
                <w:sz w:val="20"/>
                <w:szCs w:val="20"/>
                <w:lang w:eastAsia="en-US"/>
              </w:rPr>
            </w:pPr>
          </w:p>
          <w:p w:rsidR="004843FB" w:rsidRPr="00C653A7" w:rsidRDefault="004843FB" w:rsidP="00DA7A4C">
            <w:pPr>
              <w:spacing w:line="240" w:lineRule="auto"/>
              <w:jc w:val="right"/>
              <w:rPr>
                <w:rFonts w:eastAsia="Franklin Gothic Book"/>
                <w:b w:val="0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8C152F">
              <w:rPr>
                <w:rFonts w:eastAsia="Franklin Gothic Book"/>
                <w:b w:val="0"/>
                <w:i/>
                <w:noProof/>
                <w:color w:val="000000" w:themeColor="text1"/>
                <w:sz w:val="20"/>
                <w:szCs w:val="20"/>
              </w:rPr>
              <w:pict>
                <v:rect id="1171 Rectángulo" o:spid="_x0000_s1026" style="position:absolute;left:0;text-align:left;margin-left:-7.8pt;margin-top:28.3pt;width:402pt;height:26.2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" fillcolor="window" strokecolor="window" strokeweight="1pt">
                  <v:textbox>
                    <w:txbxContent>
                      <w:p w:rsidR="004843FB" w:rsidRPr="00C653A7" w:rsidRDefault="004843FB" w:rsidP="004843FB">
                        <w:pPr>
                          <w:jc w:val="left"/>
                          <w:cnfStyle w:val="001000100000"/>
                          <w:rPr>
                            <w:color w:val="000000" w:themeColor="text1"/>
                          </w:rPr>
                        </w:pPr>
                        <w:r w:rsidRPr="00C653A7">
                          <w:rPr>
                            <w:i/>
                            <w:color w:val="000000" w:themeColor="text1"/>
                            <w:sz w:val="22"/>
                            <w:szCs w:val="22"/>
                          </w:rPr>
                          <w:t>Z = 1,052</w:t>
                        </w:r>
                        <w:r w:rsidRPr="00C653A7">
                          <w:rPr>
                            <w:rFonts w:eastAsia="Franklin Gothic Book"/>
                            <w:i/>
                            <w:color w:val="000000" w:themeColor="text1"/>
                            <w:sz w:val="22"/>
                            <w:szCs w:val="22"/>
                          </w:rPr>
                          <w:t>Z</w:t>
                        </w:r>
                        <w:r>
                          <w:rPr>
                            <w:rFonts w:eastAsia="Franklin Gothic Book"/>
                            <w:i/>
                            <w:color w:val="000000" w:themeColor="text1"/>
                            <w:sz w:val="22"/>
                            <w:szCs w:val="22"/>
                          </w:rPr>
                          <w:t xml:space="preserve">                       Z</w:t>
                        </w:r>
                        <w:r w:rsidRPr="00C653A7">
                          <w:rPr>
                            <w:rFonts w:eastAsia="Franklin Gothic Book"/>
                            <w:i/>
                            <w:color w:val="000000" w:themeColor="text1"/>
                            <w:sz w:val="22"/>
                            <w:szCs w:val="22"/>
                          </w:rPr>
                          <w:t xml:space="preserve"> = 0,726</w:t>
                        </w:r>
                      </w:p>
                      <w:p w:rsidR="004843FB" w:rsidRPr="00C653A7" w:rsidRDefault="004843FB" w:rsidP="004843FB">
                        <w:pPr>
                          <w:jc w:val="left"/>
                          <w:cnfStyle w:val="001000100000"/>
                          <w:rPr>
                            <w:i/>
                            <w:color w:val="000000" w:themeColor="text1"/>
                          </w:rPr>
                        </w:pPr>
                      </w:p>
                      <w:p w:rsidR="004843FB" w:rsidRDefault="004843FB" w:rsidP="004843FB">
                        <w:pPr>
                          <w:jc w:val="center"/>
                          <w:cnfStyle w:val="001000100000"/>
                        </w:pPr>
                      </w:p>
                    </w:txbxContent>
                  </v:textbox>
                </v:rect>
              </w:pict>
            </w:r>
            <w:r w:rsidRPr="00C653A7">
              <w:rPr>
                <w:rFonts w:eastAsia="Franklin Gothic Book"/>
                <w:b w:val="0"/>
                <w:i/>
                <w:color w:val="000000" w:themeColor="text1"/>
                <w:sz w:val="20"/>
                <w:szCs w:val="20"/>
                <w:lang w:eastAsia="en-US"/>
              </w:rPr>
              <w:t>* Edad:   KS =0,668</w:t>
            </w:r>
          </w:p>
        </w:tc>
        <w:tc>
          <w:tcPr>
            <w:tcW w:w="0" w:type="auto"/>
            <w:shd w:val="clear" w:color="auto" w:fill="auto"/>
          </w:tcPr>
          <w:p w:rsidR="004843FB" w:rsidRPr="00C653A7" w:rsidRDefault="004843FB" w:rsidP="00DA7A4C">
            <w:pPr>
              <w:spacing w:line="240" w:lineRule="auto"/>
              <w:jc w:val="right"/>
              <w:cnfStyle w:val="000000100000"/>
              <w:rPr>
                <w:rFonts w:eastAsia="Franklin Gothic Book"/>
                <w:i/>
                <w:color w:val="000000" w:themeColor="text1"/>
                <w:sz w:val="20"/>
                <w:szCs w:val="20"/>
                <w:lang w:eastAsia="en-US"/>
              </w:rPr>
            </w:pPr>
          </w:p>
          <w:p w:rsidR="004843FB" w:rsidRPr="00C653A7" w:rsidRDefault="004843FB" w:rsidP="00DA7A4C">
            <w:pPr>
              <w:spacing w:line="240" w:lineRule="auto"/>
              <w:jc w:val="right"/>
              <w:cnfStyle w:val="000000100000"/>
              <w:rPr>
                <w:rFonts w:eastAsia="Franklin Gothic Book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C653A7">
              <w:rPr>
                <w:rFonts w:eastAsia="Franklin Gothic Book"/>
                <w:i/>
                <w:color w:val="000000" w:themeColor="text1"/>
                <w:sz w:val="20"/>
                <w:szCs w:val="20"/>
                <w:lang w:eastAsia="en-US"/>
              </w:rPr>
              <w:t>* Duración enfermedad: KS= 0,219</w:t>
            </w:r>
          </w:p>
          <w:p w:rsidR="004843FB" w:rsidRPr="00C653A7" w:rsidRDefault="004843FB" w:rsidP="00DA7A4C">
            <w:pPr>
              <w:spacing w:line="240" w:lineRule="auto"/>
              <w:jc w:val="right"/>
              <w:cnfStyle w:val="000000100000"/>
              <w:rPr>
                <w:rFonts w:eastAsia="Franklin Gothic Book"/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:rsidR="004843FB" w:rsidRDefault="004843FB"/>
    <w:p w:rsidR="004843FB" w:rsidRDefault="004843FB" w:rsidP="004843FB"/>
    <w:p w:rsidR="004843FB" w:rsidRPr="00227DD4" w:rsidRDefault="004843FB" w:rsidP="004843FB">
      <w:pPr>
        <w:jc w:val="left"/>
        <w:rPr>
          <w:i/>
        </w:rPr>
      </w:pPr>
      <w:r w:rsidRPr="0004310A">
        <w:rPr>
          <w:i/>
        </w:rPr>
        <w:t xml:space="preserve">Gráfico 1. Tiempo de evolución </w:t>
      </w:r>
      <w:r>
        <w:rPr>
          <w:i/>
        </w:rPr>
        <w:t xml:space="preserve">y </w:t>
      </w:r>
      <w:r w:rsidRPr="0004310A">
        <w:rPr>
          <w:i/>
        </w:rPr>
        <w:t xml:space="preserve"> compromiso orgánico</w:t>
      </w:r>
      <w:r>
        <w:rPr>
          <w:i/>
        </w:rPr>
        <w:t xml:space="preserve"> en pacientes con esclerosis sistémica</w:t>
      </w:r>
    </w:p>
    <w:p w:rsidR="00886709" w:rsidRDefault="004843FB" w:rsidP="004843FB">
      <w:r w:rsidRPr="004843FB">
        <w:drawing>
          <wp:inline distT="0" distB="0" distL="0" distR="0">
            <wp:extent cx="5400675" cy="1962150"/>
            <wp:effectExtent l="19050" t="0" r="0" b="0"/>
            <wp:docPr id="15" name="Gráfico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4843FB" w:rsidRPr="0004310A" w:rsidRDefault="004843FB" w:rsidP="004843FB">
      <w:pPr>
        <w:jc w:val="left"/>
        <w:rPr>
          <w:i/>
          <w:noProof/>
        </w:rPr>
      </w:pPr>
      <w:r>
        <w:rPr>
          <w:i/>
          <w:noProof/>
        </w:rPr>
        <w:lastRenderedPageBreak/>
        <w:t xml:space="preserve">Gráfico 2. Alteraciones </w:t>
      </w:r>
      <w:r w:rsidRPr="0004310A">
        <w:rPr>
          <w:i/>
          <w:noProof/>
        </w:rPr>
        <w:t>de medios diagnósticos</w:t>
      </w:r>
      <w:r>
        <w:rPr>
          <w:i/>
          <w:noProof/>
        </w:rPr>
        <w:t xml:space="preserve"> en pacientes con esclerosis sistémica</w:t>
      </w:r>
    </w:p>
    <w:p w:rsidR="004843FB" w:rsidRPr="004843FB" w:rsidRDefault="004843FB" w:rsidP="004843FB">
      <w:r w:rsidRPr="004843FB">
        <w:drawing>
          <wp:inline distT="0" distB="0" distL="0" distR="0">
            <wp:extent cx="5572125" cy="2209800"/>
            <wp:effectExtent l="19050" t="0" r="0" b="0"/>
            <wp:docPr id="1" name="Gráfico 106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4843FB" w:rsidRPr="004843FB" w:rsidSect="008867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altName w:val="Times New Roman"/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843FB"/>
    <w:rsid w:val="0043503D"/>
    <w:rsid w:val="004843FB"/>
    <w:rsid w:val="007D5F48"/>
    <w:rsid w:val="00886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3FB"/>
    <w:pPr>
      <w:spacing w:line="480" w:lineRule="auto"/>
      <w:jc w:val="both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Listamedia1-nfasis31">
    <w:name w:val="Lista media 1 - Énfasis 31"/>
    <w:basedOn w:val="Tablanormal"/>
    <w:uiPriority w:val="65"/>
    <w:rsid w:val="004843FB"/>
    <w:pPr>
      <w:spacing w:after="0" w:line="240" w:lineRule="auto"/>
    </w:pPr>
    <w:rPr>
      <w:rFonts w:asciiTheme="majorHAnsi" w:eastAsia="Times New Roman" w:hAnsiTheme="majorHAnsi" w:cstheme="majorBidi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Franklin Gothic Medium" w:eastAsia="Times New Roman" w:hAnsi="Franklin Gothic Medium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3">
    <w:name w:val="Medium List 1 Accent 3"/>
    <w:basedOn w:val="Tablanormal"/>
    <w:uiPriority w:val="65"/>
    <w:rsid w:val="004843F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484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43FB"/>
    <w:rPr>
      <w:rFonts w:ascii="Tahoma" w:eastAsia="Times New Roman" w:hAnsi="Tahoma" w:cs="Tahoma"/>
      <w:color w:val="000000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Office_Excel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Hoja_de_c_lculo_de_Microsoft_Office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style val="34"/>
  <c:chart>
    <c:view3D>
      <c:perspective val="30"/>
    </c:view3D>
    <c:plotArea>
      <c:layout>
        <c:manualLayout>
          <c:layoutTarget val="inner"/>
          <c:xMode val="edge"/>
          <c:yMode val="edge"/>
          <c:x val="0.12723614093692837"/>
          <c:y val="3.9498509288280713E-2"/>
          <c:w val="0.89796457562010068"/>
          <c:h val="0.60421371951621627"/>
        </c:manualLayout>
      </c:layout>
      <c:bar3DChart>
        <c:barDir val="col"/>
        <c:grouping val="clustered"/>
        <c:ser>
          <c:idx val="0"/>
          <c:order val="0"/>
          <c:tx>
            <c:strRef>
              <c:f>Hoja1!$B$1</c:f>
              <c:strCache>
                <c:ptCount val="1"/>
                <c:pt idx="0">
                  <c:v>-5</c:v>
                </c:pt>
              </c:strCache>
            </c:strRef>
          </c:tx>
          <c:cat>
            <c:strRef>
              <c:f>Hoja1!$A$2:$A$8</c:f>
              <c:strCache>
                <c:ptCount val="7"/>
                <c:pt idx="0">
                  <c:v>Musculoesquelético</c:v>
                </c:pt>
                <c:pt idx="1">
                  <c:v>Microvascular</c:v>
                </c:pt>
                <c:pt idx="2">
                  <c:v>Piel</c:v>
                </c:pt>
                <c:pt idx="3">
                  <c:v>Digestivo</c:v>
                </c:pt>
                <c:pt idx="4">
                  <c:v>Respiratorio</c:v>
                </c:pt>
                <c:pt idx="5">
                  <c:v>Cardiovascular</c:v>
                </c:pt>
                <c:pt idx="6">
                  <c:v>Renal</c:v>
                </c:pt>
              </c:strCache>
            </c:strRef>
          </c:cat>
          <c:val>
            <c:numRef>
              <c:f>Hoja1!$B$2:$B$8</c:f>
              <c:numCache>
                <c:formatCode>General</c:formatCode>
                <c:ptCount val="7"/>
                <c:pt idx="0">
                  <c:v>52.27</c:v>
                </c:pt>
                <c:pt idx="1">
                  <c:v>50</c:v>
                </c:pt>
                <c:pt idx="2">
                  <c:v>72.72</c:v>
                </c:pt>
                <c:pt idx="3">
                  <c:v>47.720000000000013</c:v>
                </c:pt>
                <c:pt idx="4">
                  <c:v>40.9</c:v>
                </c:pt>
                <c:pt idx="5">
                  <c:v>2.27</c:v>
                </c:pt>
                <c:pt idx="6">
                  <c:v>4.54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de 5 a 10</c:v>
                </c:pt>
              </c:strCache>
            </c:strRef>
          </c:tx>
          <c:cat>
            <c:strRef>
              <c:f>Hoja1!$A$2:$A$8</c:f>
              <c:strCache>
                <c:ptCount val="7"/>
                <c:pt idx="0">
                  <c:v>Musculoesquelético</c:v>
                </c:pt>
                <c:pt idx="1">
                  <c:v>Microvascular</c:v>
                </c:pt>
                <c:pt idx="2">
                  <c:v>Piel</c:v>
                </c:pt>
                <c:pt idx="3">
                  <c:v>Digestivo</c:v>
                </c:pt>
                <c:pt idx="4">
                  <c:v>Respiratorio</c:v>
                </c:pt>
                <c:pt idx="5">
                  <c:v>Cardiovascular</c:v>
                </c:pt>
                <c:pt idx="6">
                  <c:v>Renal</c:v>
                </c:pt>
              </c:strCache>
            </c:strRef>
          </c:cat>
          <c:val>
            <c:numRef>
              <c:f>Hoja1!$C$2:$C$8</c:f>
              <c:numCache>
                <c:formatCode>General</c:formatCode>
                <c:ptCount val="7"/>
                <c:pt idx="0">
                  <c:v>29.54</c:v>
                </c:pt>
                <c:pt idx="1">
                  <c:v>29.54</c:v>
                </c:pt>
                <c:pt idx="2">
                  <c:v>22.72</c:v>
                </c:pt>
                <c:pt idx="3">
                  <c:v>38.6</c:v>
                </c:pt>
                <c:pt idx="4">
                  <c:v>36.36</c:v>
                </c:pt>
                <c:pt idx="5">
                  <c:v>6.81</c:v>
                </c:pt>
                <c:pt idx="6">
                  <c:v>2.27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de 11 a 20</c:v>
                </c:pt>
              </c:strCache>
            </c:strRef>
          </c:tx>
          <c:cat>
            <c:strRef>
              <c:f>Hoja1!$A$2:$A$8</c:f>
              <c:strCache>
                <c:ptCount val="7"/>
                <c:pt idx="0">
                  <c:v>Musculoesquelético</c:v>
                </c:pt>
                <c:pt idx="1">
                  <c:v>Microvascular</c:v>
                </c:pt>
                <c:pt idx="2">
                  <c:v>Piel</c:v>
                </c:pt>
                <c:pt idx="3">
                  <c:v>Digestivo</c:v>
                </c:pt>
                <c:pt idx="4">
                  <c:v>Respiratorio</c:v>
                </c:pt>
                <c:pt idx="5">
                  <c:v>Cardiovascular</c:v>
                </c:pt>
                <c:pt idx="6">
                  <c:v>Renal</c:v>
                </c:pt>
              </c:strCache>
            </c:strRef>
          </c:cat>
          <c:val>
            <c:numRef>
              <c:f>Hoja1!$D$2:$D$8</c:f>
              <c:numCache>
                <c:formatCode>General</c:formatCode>
                <c:ptCount val="7"/>
                <c:pt idx="0">
                  <c:v>13.6</c:v>
                </c:pt>
                <c:pt idx="1">
                  <c:v>15.9</c:v>
                </c:pt>
                <c:pt idx="2">
                  <c:v>0</c:v>
                </c:pt>
                <c:pt idx="3">
                  <c:v>6.81</c:v>
                </c:pt>
                <c:pt idx="4">
                  <c:v>4.54</c:v>
                </c:pt>
                <c:pt idx="5">
                  <c:v>13.6</c:v>
                </c:pt>
                <c:pt idx="6">
                  <c:v>2.27</c:v>
                </c:pt>
              </c:numCache>
            </c:numRef>
          </c:val>
        </c:ser>
        <c:ser>
          <c:idx val="3"/>
          <c:order val="3"/>
          <c:tx>
            <c:strRef>
              <c:f>Hoja1!$E$1</c:f>
              <c:strCache>
                <c:ptCount val="1"/>
                <c:pt idx="0">
                  <c:v>más 20</c:v>
                </c:pt>
              </c:strCache>
            </c:strRef>
          </c:tx>
          <c:cat>
            <c:strRef>
              <c:f>Hoja1!$A$2:$A$8</c:f>
              <c:strCache>
                <c:ptCount val="7"/>
                <c:pt idx="0">
                  <c:v>Musculoesquelético</c:v>
                </c:pt>
                <c:pt idx="1">
                  <c:v>Microvascular</c:v>
                </c:pt>
                <c:pt idx="2">
                  <c:v>Piel</c:v>
                </c:pt>
                <c:pt idx="3">
                  <c:v>Digestivo</c:v>
                </c:pt>
                <c:pt idx="4">
                  <c:v>Respiratorio</c:v>
                </c:pt>
                <c:pt idx="5">
                  <c:v>Cardiovascular</c:v>
                </c:pt>
                <c:pt idx="6">
                  <c:v>Renal</c:v>
                </c:pt>
              </c:strCache>
            </c:strRef>
          </c:cat>
          <c:val>
            <c:numRef>
              <c:f>Hoja1!$E$2:$E$8</c:f>
              <c:numCache>
                <c:formatCode>General</c:formatCode>
                <c:ptCount val="7"/>
                <c:pt idx="0">
                  <c:v>4.54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13.6</c:v>
                </c:pt>
                <c:pt idx="6">
                  <c:v>6.81</c:v>
                </c:pt>
              </c:numCache>
            </c:numRef>
          </c:val>
        </c:ser>
        <c:ser>
          <c:idx val="4"/>
          <c:order val="4"/>
          <c:tx>
            <c:strRef>
              <c:f>Hoja1!$F$1</c:f>
              <c:strCache>
                <c:ptCount val="1"/>
              </c:strCache>
            </c:strRef>
          </c:tx>
          <c:dLbls>
            <c:showVal val="1"/>
          </c:dLbls>
          <c:cat>
            <c:strRef>
              <c:f>Hoja1!$A$2:$A$8</c:f>
              <c:strCache>
                <c:ptCount val="7"/>
                <c:pt idx="0">
                  <c:v>Musculoesquelético</c:v>
                </c:pt>
                <c:pt idx="1">
                  <c:v>Microvascular</c:v>
                </c:pt>
                <c:pt idx="2">
                  <c:v>Piel</c:v>
                </c:pt>
                <c:pt idx="3">
                  <c:v>Digestivo</c:v>
                </c:pt>
                <c:pt idx="4">
                  <c:v>Respiratorio</c:v>
                </c:pt>
                <c:pt idx="5">
                  <c:v>Cardiovascular</c:v>
                </c:pt>
                <c:pt idx="6">
                  <c:v>Renal</c:v>
                </c:pt>
              </c:strCache>
            </c:strRef>
          </c:cat>
          <c:val>
            <c:numRef>
              <c:f>Hoja1!$F$2:$F$8</c:f>
              <c:numCache>
                <c:formatCode>General</c:formatCode>
                <c:ptCount val="7"/>
              </c:numCache>
            </c:numRef>
          </c:val>
        </c:ser>
        <c:shape val="cylinder"/>
        <c:axId val="86577152"/>
        <c:axId val="86579072"/>
        <c:axId val="0"/>
      </c:bar3DChart>
      <c:catAx>
        <c:axId val="86577152"/>
        <c:scaling>
          <c:orientation val="minMax"/>
        </c:scaling>
        <c:axPos val="b"/>
        <c:tickLblPos val="nextTo"/>
        <c:crossAx val="86579072"/>
        <c:crosses val="autoZero"/>
        <c:auto val="1"/>
        <c:lblAlgn val="ctr"/>
        <c:lblOffset val="100"/>
      </c:catAx>
      <c:valAx>
        <c:axId val="86579072"/>
        <c:scaling>
          <c:orientation val="minMax"/>
        </c:scaling>
        <c:axPos val="l"/>
        <c:numFmt formatCode="General" sourceLinked="1"/>
        <c:tickLblPos val="nextTo"/>
        <c:crossAx val="86577152"/>
        <c:crosses val="autoZero"/>
        <c:crossBetween val="between"/>
      </c:valAx>
    </c:plotArea>
    <c:legend>
      <c:legendPos val="r"/>
      <c:legendEntry>
        <c:idx val="4"/>
        <c:delete val="1"/>
      </c:legendEntry>
      <c:layout>
        <c:manualLayout>
          <c:xMode val="edge"/>
          <c:yMode val="edge"/>
          <c:x val="0.85890005591911389"/>
          <c:y val="0.12155174244837903"/>
          <c:w val="0.12984801084125525"/>
          <c:h val="0.40622183787720206"/>
        </c:manualLayout>
      </c:layout>
    </c:legend>
    <c:plotVisOnly val="1"/>
    <c:dispBlanksAs val="gap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7.9948623443346273E-2"/>
          <c:y val="0.18985374615783657"/>
          <c:w val="0.67753966924347286"/>
          <c:h val="0.70998784443979945"/>
        </c:manualLayout>
      </c:layout>
      <c:pie3DChart>
        <c:varyColors val="1"/>
        <c:ser>
          <c:idx val="0"/>
          <c:order val="0"/>
          <c:tx>
            <c:strRef>
              <c:f>'TABLA 3'!$O$1</c:f>
              <c:strCache>
                <c:ptCount val="1"/>
                <c:pt idx="0">
                  <c:v>%</c:v>
                </c:pt>
              </c:strCache>
            </c:strRef>
          </c:tx>
          <c:explosion val="25"/>
          <c:dPt>
            <c:idx val="3"/>
            <c:spPr>
              <a:solidFill>
                <a:srgbClr val="7030A0"/>
              </a:solidFill>
            </c:spPr>
          </c:dPt>
          <c:dPt>
            <c:idx val="4"/>
            <c:spPr>
              <a:solidFill>
                <a:srgbClr val="FFFF00"/>
              </a:solidFill>
            </c:spPr>
          </c:dPt>
          <c:dPt>
            <c:idx val="6"/>
            <c:spPr>
              <a:solidFill>
                <a:schemeClr val="accent6">
                  <a:lumMod val="60000"/>
                  <a:lumOff val="40000"/>
                </a:schemeClr>
              </a:solidFill>
            </c:spPr>
          </c:dPt>
          <c:dPt>
            <c:idx val="7"/>
            <c:spPr>
              <a:solidFill>
                <a:srgbClr val="00B050"/>
              </a:solidFill>
            </c:spPr>
          </c:dPt>
          <c:dPt>
            <c:idx val="8"/>
            <c:spPr>
              <a:solidFill>
                <a:schemeClr val="accent4">
                  <a:lumMod val="40000"/>
                  <a:lumOff val="60000"/>
                </a:schemeClr>
              </a:solidFill>
            </c:spPr>
          </c:dPt>
          <c:dPt>
            <c:idx val="9"/>
            <c:spPr>
              <a:solidFill>
                <a:schemeClr val="tx1">
                  <a:lumMod val="50000"/>
                  <a:lumOff val="50000"/>
                </a:schemeClr>
              </a:solidFill>
            </c:spPr>
          </c:dPt>
          <c:dPt>
            <c:idx val="10"/>
            <c:spPr>
              <a:solidFill>
                <a:schemeClr val="bg2">
                  <a:lumMod val="50000"/>
                </a:schemeClr>
              </a:solidFill>
            </c:spPr>
          </c:dPt>
          <c:dPt>
            <c:idx val="11"/>
            <c:spPr>
              <a:solidFill>
                <a:srgbClr val="FF0000"/>
              </a:solidFill>
            </c:spPr>
          </c:dPt>
          <c:dLbls>
            <c:dLbl>
              <c:idx val="0"/>
              <c:layout>
                <c:manualLayout>
                  <c:x val="1.4348425196850404E-2"/>
                  <c:y val="-4.3239282589676277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es-ES"/>
                </a:p>
              </c:txPr>
              <c:dLblPos val="bestFit"/>
              <c:showLegendKey val="1"/>
              <c:showVal val="1"/>
            </c:dLbl>
            <c:dLbl>
              <c:idx val="1"/>
              <c:layout>
                <c:manualLayout>
                  <c:x val="-2.3160542432195974E-3"/>
                  <c:y val="-5.4618328958880177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es-ES"/>
                </a:p>
              </c:txPr>
              <c:dLblPos val="bestFit"/>
              <c:showLegendKey val="1"/>
              <c:showVal val="1"/>
            </c:dLbl>
            <c:dLbl>
              <c:idx val="2"/>
              <c:layout>
                <c:manualLayout>
                  <c:x val="5.5853018372703424E-3"/>
                  <c:y val="-3.0930664916885391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es-ES"/>
                </a:p>
              </c:txPr>
              <c:dLblPos val="bestFit"/>
              <c:showLegendKey val="1"/>
              <c:showVal val="1"/>
            </c:dLbl>
            <c:dLbl>
              <c:idx val="3"/>
              <c:layout>
                <c:manualLayout>
                  <c:x val="4.2409886264216975E-2"/>
                  <c:y val="1.0360527850685345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es-ES"/>
                </a:p>
              </c:txPr>
              <c:dLblPos val="bestFit"/>
              <c:showLegendKey val="1"/>
              <c:showVal val="1"/>
            </c:dLbl>
            <c:dLbl>
              <c:idx val="4"/>
              <c:layout>
                <c:manualLayout>
                  <c:x val="-3.6711112189558782E-2"/>
                  <c:y val="2.5199218518737802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es-ES"/>
                </a:p>
              </c:txPr>
              <c:dLblPos val="bestFit"/>
              <c:showLegendKey val="1"/>
              <c:showVal val="1"/>
            </c:dLbl>
            <c:dLbl>
              <c:idx val="5"/>
              <c:layout>
                <c:manualLayout>
                  <c:x val="-3.3688007797176352E-2"/>
                  <c:y val="-7.5274801176168794E-3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es-ES"/>
                </a:p>
              </c:txPr>
              <c:dLblPos val="bestFit"/>
              <c:showLegendKey val="1"/>
              <c:showVal val="1"/>
            </c:dLbl>
            <c:dLbl>
              <c:idx val="6"/>
              <c:layout>
                <c:manualLayout>
                  <c:x val="-2.7814728089651387E-2"/>
                  <c:y val="-6.3880567560633872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es-ES"/>
                </a:p>
              </c:txPr>
              <c:dLblPos val="bestFit"/>
              <c:showLegendKey val="1"/>
              <c:showVal val="1"/>
            </c:dLbl>
            <c:dLbl>
              <c:idx val="7"/>
              <c:layout>
                <c:manualLayout>
                  <c:x val="3.8316929133858247E-3"/>
                  <c:y val="-5.8601633129192192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es-ES"/>
                </a:p>
              </c:txPr>
              <c:dLblPos val="bestFit"/>
              <c:showLegendKey val="1"/>
              <c:showVal val="1"/>
            </c:dLbl>
            <c:dLbl>
              <c:idx val="8"/>
              <c:layout>
                <c:manualLayout>
                  <c:x val="-4.6768372703412074E-3"/>
                  <c:y val="-2.0585083114610672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es-ES"/>
                </a:p>
              </c:txPr>
              <c:dLblPos val="bestFit"/>
              <c:showLegendKey val="1"/>
              <c:showVal val="1"/>
            </c:dLbl>
            <c:dLbl>
              <c:idx val="9"/>
              <c:layout>
                <c:manualLayout>
                  <c:x val="2.0277887139107612E-2"/>
                  <c:y val="-3.9905220180810767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es-ES"/>
                </a:p>
              </c:txPr>
              <c:dLblPos val="bestFit"/>
              <c:showLegendKey val="1"/>
              <c:showVal val="1"/>
            </c:dLbl>
            <c:dLbl>
              <c:idx val="11"/>
              <c:layout>
                <c:manualLayout>
                  <c:x val="3.3006078400446476E-2"/>
                  <c:y val="-1.7137331517770805E-3"/>
                </c:manualLayout>
              </c:layout>
              <c:showLegendKey val="1"/>
              <c:showVal val="1"/>
            </c:dLbl>
            <c:showLegendKey val="1"/>
            <c:showVal val="1"/>
            <c:showLeaderLines val="1"/>
          </c:dLbls>
          <c:cat>
            <c:strRef>
              <c:f>'TABLA 3'!$N$2:$N$13</c:f>
              <c:strCache>
                <c:ptCount val="12"/>
                <c:pt idx="0">
                  <c:v>VSG</c:v>
                </c:pt>
                <c:pt idx="1">
                  <c:v>PCR</c:v>
                </c:pt>
                <c:pt idx="2">
                  <c:v>ICC</c:v>
                </c:pt>
                <c:pt idx="3">
                  <c:v>FR</c:v>
                </c:pt>
                <c:pt idx="4">
                  <c:v>ANA</c:v>
                </c:pt>
                <c:pt idx="5">
                  <c:v>Proteinuria&gt;0,5</c:v>
                </c:pt>
                <c:pt idx="6">
                  <c:v>Endoscopia</c:v>
                </c:pt>
                <c:pt idx="7">
                  <c:v>Biopsia de piel</c:v>
                </c:pt>
                <c:pt idx="8">
                  <c:v>PFR</c:v>
                </c:pt>
                <c:pt idx="9">
                  <c:v>EKG</c:v>
                </c:pt>
                <c:pt idx="10">
                  <c:v>ECO Doppler</c:v>
                </c:pt>
                <c:pt idx="11">
                  <c:v>Hb &lt;10g/l</c:v>
                </c:pt>
              </c:strCache>
            </c:strRef>
          </c:cat>
          <c:val>
            <c:numRef>
              <c:f>'TABLA 3'!$O$2:$O$13</c:f>
              <c:numCache>
                <c:formatCode>General</c:formatCode>
                <c:ptCount val="12"/>
                <c:pt idx="0">
                  <c:v>84</c:v>
                </c:pt>
                <c:pt idx="1">
                  <c:v>75</c:v>
                </c:pt>
                <c:pt idx="2">
                  <c:v>68.099999999999994</c:v>
                </c:pt>
                <c:pt idx="3">
                  <c:v>66</c:v>
                </c:pt>
                <c:pt idx="4">
                  <c:v>32</c:v>
                </c:pt>
                <c:pt idx="5">
                  <c:v>20.399999999999999</c:v>
                </c:pt>
                <c:pt idx="6">
                  <c:v>93.1</c:v>
                </c:pt>
                <c:pt idx="7">
                  <c:v>91</c:v>
                </c:pt>
                <c:pt idx="8">
                  <c:v>82</c:v>
                </c:pt>
                <c:pt idx="9">
                  <c:v>34</c:v>
                </c:pt>
                <c:pt idx="10">
                  <c:v>20.399999999999999</c:v>
                </c:pt>
                <c:pt idx="11">
                  <c:v>27.7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78653242703636395"/>
          <c:y val="1.3104271057026965E-2"/>
          <c:w val="0.20130955425443614"/>
          <c:h val="0.93338741748190568"/>
        </c:manualLayout>
      </c:layout>
      <c:txPr>
        <a:bodyPr/>
        <a:lstStyle/>
        <a:p>
          <a:pPr>
            <a:defRPr b="1" i="1"/>
          </a:pPr>
          <a:endParaRPr lang="es-ES"/>
        </a:p>
      </c:txPr>
    </c:legend>
    <c:plotVisOnly val="1"/>
    <c:dispBlanksAs val="zero"/>
  </c:chart>
  <c:spPr>
    <a:ln>
      <a:solidFill>
        <a:sysClr val="window" lastClr="FFFFFF"/>
      </a:solidFill>
    </a:ln>
  </c:spPr>
  <c:externalData r:id="rId2"/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0.04786</cdr:x>
      <cdr:y>0.03971</cdr:y>
    </cdr:from>
    <cdr:to>
      <cdr:x>0.25253</cdr:x>
      <cdr:y>0.13732</cdr:y>
    </cdr:to>
    <cdr:sp macro="" textlink="">
      <cdr:nvSpPr>
        <cdr:cNvPr id="2" name="1 CuadroTexto"/>
        <cdr:cNvSpPr txBox="1"/>
      </cdr:nvSpPr>
      <cdr:spPr>
        <a:xfrm xmlns:a="http://schemas.openxmlformats.org/drawingml/2006/main">
          <a:off x="190500" y="114300"/>
          <a:ext cx="914400" cy="2571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es-ES"/>
        </a:p>
      </cdr:txBody>
    </cdr:sp>
  </cdr:relSizeAnchor>
  <cdr:relSizeAnchor xmlns:cdr="http://schemas.openxmlformats.org/drawingml/2006/chartDrawing">
    <cdr:from>
      <cdr:x>0.02361</cdr:x>
      <cdr:y>0.08302</cdr:y>
    </cdr:from>
    <cdr:to>
      <cdr:x>0.24303</cdr:x>
      <cdr:y>0.31457</cdr:y>
    </cdr:to>
    <cdr:sp macro="" textlink="">
      <cdr:nvSpPr>
        <cdr:cNvPr id="3" name="2 CuadroTexto"/>
        <cdr:cNvSpPr txBox="1"/>
      </cdr:nvSpPr>
      <cdr:spPr>
        <a:xfrm xmlns:a="http://schemas.openxmlformats.org/drawingml/2006/main">
          <a:off x="104775" y="228600"/>
          <a:ext cx="914400" cy="6858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s-ES" sz="1200" b="1">
              <a:latin typeface="Arial" pitchFamily="34" charset="0"/>
              <a:cs typeface="Arial" pitchFamily="34" charset="0"/>
            </a:rPr>
            <a:t>%</a:t>
          </a:r>
        </a:p>
      </cdr:txBody>
    </cdr:sp>
  </cdr:relSizeAnchor>
</c:userShape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D7F3B-7E07-4792-A6B1-FBF4B06FD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173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</dc:creator>
  <cp:lastModifiedBy>DR</cp:lastModifiedBy>
  <cp:revision>1</cp:revision>
  <dcterms:created xsi:type="dcterms:W3CDTF">2017-12-23T17:03:00Z</dcterms:created>
  <dcterms:modified xsi:type="dcterms:W3CDTF">2017-12-23T19:35:00Z</dcterms:modified>
</cp:coreProperties>
</file>